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B7" w:rsidRDefault="00B344D6" w:rsidP="00032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5B7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325B7" w:rsidRPr="000325B7">
        <w:rPr>
          <w:rFonts w:ascii="Times New Roman" w:hAnsi="Times New Roman" w:cs="Times New Roman"/>
          <w:sz w:val="24"/>
          <w:szCs w:val="24"/>
        </w:rPr>
        <w:t xml:space="preserve"> РЕГУЛИРУЮЩИХ ПРЕДОСТАВЛЕНИЕ МУНИЦИПАЛЬНОЙ УСЛУГИ</w:t>
      </w:r>
    </w:p>
    <w:p w:rsidR="00E867A5" w:rsidRDefault="000325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2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КОНСТИТУЦИЯ РОССИЙСКОЙ ФЕДЕРАЦИИ, ПРИНЯТА ВСЕНАРОДНЫМ ГОЛОСОВАНИЕМ 12 ДЕКАБРЯ 1993 ГОДА;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ЗЕМЕЛЬНЫЙ КОДЕКС РОССИЙСКОЙ ФЕДЕРАЦИИ;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t xml:space="preserve"> 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ГРАДОСТРОИТЕЛЬНЫЙ КОДЕКС РОССИЙСКОЙ ФЕДЕРАЦИИ;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the-agreement-on-the-redistribution-of-land-and-or-land-plots-in-state-or-municipal-ownership-and-la/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CAEDA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"http://admin-tih.ru/upload/iblock/233/Postanovlenie-Pravitelstva-RF-ot-7-iyulya-2011-g.-N-553-_O-poryadke-oformleniya-i-p.rtf"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"http://admin-tih.ru/upload/iblock/108/Postanovlenie-Pravitelstva-RF-ot-25-iyunya-2012-g.-N-634-_O-vidakh-elektronnoy-pod.rtf"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"http://admin-tih.ru/upload/iblock/453/Postanovlenie-Pravitelstva-RF-ot-20-noyabrya-2012-g.-N-1198-_O-federalnoy-gosuda.rtf"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t>ПОСТАНОВЛЕНИЕ ПРАВИТЕЛЬСТВА РОССИЙСКОЙ ФЕДЕРАЦИИ ОТ 20 НОЯБРЯ      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t xml:space="preserve"> 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begin"/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instrText xml:space="preserve"> HYPERLINK "http://admin-tih.ru/upload/iblock/0e3/Postanovlenie-Pravitelstva-RF-ot-26-marta-2016-g.-N-236-_O-trebovaniyakh-k-predos.rtf" </w:instrText>
      </w: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separate"/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aps/>
          <w:color w:val="000000"/>
          <w:sz w:val="24"/>
          <w:szCs w:val="24"/>
          <w:lang w:eastAsia="ru-RU"/>
        </w:rPr>
        <w:lastRenderedPageBreak/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0325B7" w:rsidRPr="000325B7" w:rsidRDefault="000325B7" w:rsidP="000325B7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0325B7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fldChar w:fldCharType="end"/>
      </w:r>
    </w:p>
    <w:p w:rsidR="000325B7" w:rsidRPr="000325B7" w:rsidRDefault="000325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25B7" w:rsidRPr="000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AF"/>
    <w:rsid w:val="000325B7"/>
    <w:rsid w:val="007B43AF"/>
    <w:rsid w:val="00B344D6"/>
    <w:rsid w:val="00E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518D-B2A0-4B03-872F-BD367B86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7CAF-709B-460E-81D4-37DC590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2020-07-24T08:24:00Z</dcterms:created>
  <dcterms:modified xsi:type="dcterms:W3CDTF">2020-07-24T08:38:00Z</dcterms:modified>
</cp:coreProperties>
</file>